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3DAE6" w14:textId="77777777" w:rsidR="00285D7C" w:rsidRDefault="00285D7C" w:rsidP="00285D7C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71C5B94" w14:textId="6E6AA55A" w:rsidR="00285D7C" w:rsidRDefault="00AA2627" w:rsidP="00237056">
      <w:pPr>
        <w:autoSpaceDE w:val="0"/>
        <w:autoSpaceDN w:val="0"/>
        <w:adjustRightInd w:val="0"/>
        <w:spacing w:line="360" w:lineRule="auto"/>
        <w:ind w:left="284" w:firstLine="351"/>
        <w:jc w:val="both"/>
        <w:rPr>
          <w:b/>
          <w:bCs/>
          <w:sz w:val="24"/>
          <w:szCs w:val="24"/>
        </w:rPr>
      </w:pPr>
      <w:bookmarkStart w:id="0" w:name="_Hlk181613189"/>
      <w:r>
        <w:rPr>
          <w:b/>
          <w:bCs/>
          <w:sz w:val="24"/>
          <w:szCs w:val="24"/>
        </w:rPr>
        <w:t>MİNA GALVANİZ</w:t>
      </w:r>
      <w:r w:rsidR="00285D7C" w:rsidRPr="00285D7C">
        <w:rPr>
          <w:b/>
          <w:bCs/>
          <w:sz w:val="24"/>
          <w:szCs w:val="24"/>
        </w:rPr>
        <w:t xml:space="preserve"> SAN. TİC. </w:t>
      </w:r>
      <w:r>
        <w:rPr>
          <w:b/>
          <w:bCs/>
          <w:sz w:val="24"/>
          <w:szCs w:val="24"/>
        </w:rPr>
        <w:t>A.Ş</w:t>
      </w:r>
      <w:r w:rsidR="00285D7C" w:rsidRPr="00285D7C">
        <w:rPr>
          <w:b/>
          <w:bCs/>
          <w:sz w:val="24"/>
          <w:szCs w:val="24"/>
        </w:rPr>
        <w:t xml:space="preserve">. </w:t>
      </w:r>
      <w:bookmarkEnd w:id="0"/>
      <w:r w:rsidR="00285D7C" w:rsidRPr="00285D7C">
        <w:rPr>
          <w:b/>
          <w:bCs/>
          <w:sz w:val="24"/>
          <w:szCs w:val="24"/>
          <w:shd w:val="clear" w:color="auto" w:fill="FFFFFF"/>
        </w:rPr>
        <w:t>olarak vizyonumuz doğrultusunda;</w:t>
      </w:r>
      <w:r w:rsidR="00285D7C" w:rsidRPr="00285D7C">
        <w:rPr>
          <w:sz w:val="24"/>
          <w:szCs w:val="24"/>
          <w:shd w:val="clear" w:color="auto" w:fill="FFFFFF"/>
        </w:rPr>
        <w:t> gelişen ve güncel teknolojileri kullanarak, müşteri beklentilerini aşarak karşılayan, güvenilir ürünleri geliştirmekte, üretmekte ve satış sonrası hizmet vermekteyiz.</w:t>
      </w:r>
    </w:p>
    <w:p w14:paraId="51397854" w14:textId="77777777" w:rsidR="00237056" w:rsidRPr="00285D7C" w:rsidRDefault="00237056" w:rsidP="00237056">
      <w:pPr>
        <w:autoSpaceDE w:val="0"/>
        <w:autoSpaceDN w:val="0"/>
        <w:adjustRightInd w:val="0"/>
        <w:spacing w:line="360" w:lineRule="auto"/>
        <w:ind w:left="284" w:firstLine="351"/>
        <w:jc w:val="both"/>
        <w:rPr>
          <w:b/>
          <w:bCs/>
          <w:sz w:val="24"/>
          <w:szCs w:val="24"/>
        </w:rPr>
      </w:pPr>
    </w:p>
    <w:p w14:paraId="25F22A2A" w14:textId="65873125" w:rsidR="00285D7C" w:rsidRP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Müşteri odaklılık ilkemiz ile müşterilerimizin ihtiyaç ve beklentilerini karşılamak, müşteri geribildirimlerini etkin yönetmek, müşteri memnuniyetini en üst düzeyde tutmak, müşterilerimiz tarafından aranan ve güvenilen çözüm ortağı olmak</w:t>
      </w:r>
      <w:r w:rsidR="008D078F">
        <w:rPr>
          <w:sz w:val="24"/>
          <w:szCs w:val="24"/>
        </w:rPr>
        <w:t xml:space="preserve"> ve geri bildirimleri etkin yönetmek</w:t>
      </w:r>
      <w:r w:rsidR="00FB088E">
        <w:rPr>
          <w:sz w:val="24"/>
          <w:szCs w:val="24"/>
        </w:rPr>
        <w:t>.</w:t>
      </w:r>
    </w:p>
    <w:p w14:paraId="5648483A" w14:textId="10730DDA" w:rsidR="00285D7C" w:rsidRP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Mevcut kaynakları etkin ve verimli kullanarak vatandaşların ihtiyaç ve beklentilerini</w:t>
      </w:r>
      <w:r w:rsidR="00B609A8">
        <w:rPr>
          <w:sz w:val="24"/>
          <w:szCs w:val="24"/>
        </w:rPr>
        <w:t xml:space="preserve"> </w:t>
      </w:r>
      <w:r w:rsidRPr="00285D7C">
        <w:rPr>
          <w:sz w:val="24"/>
          <w:szCs w:val="24"/>
        </w:rPr>
        <w:t>süresinde karşılamak, memnuniyetlerini sağlamak ve Stratejik Plan ile TS EN ISO 9001</w:t>
      </w:r>
      <w:r w:rsidR="004F6E2A">
        <w:rPr>
          <w:sz w:val="24"/>
          <w:szCs w:val="24"/>
        </w:rPr>
        <w:t>,14001,45001</w:t>
      </w:r>
      <w:r w:rsidRPr="00285D7C">
        <w:rPr>
          <w:sz w:val="24"/>
          <w:szCs w:val="24"/>
        </w:rPr>
        <w:t xml:space="preserve"> Kalite Yönetim Sistemi Standartları, uygulanabilir tüm şartlar ile yasal mevzuat çerçevesinde risk odaklı bakış açısıyla, hizmetlerimizi sürekli geliştirmek ve etkinliğini artırmaktır</w:t>
      </w:r>
      <w:r w:rsidR="00E720A8">
        <w:rPr>
          <w:sz w:val="24"/>
          <w:szCs w:val="24"/>
        </w:rPr>
        <w:t xml:space="preserve"> ve sürekli iyileştirmek.</w:t>
      </w:r>
    </w:p>
    <w:p w14:paraId="2E07B10A" w14:textId="77777777" w:rsidR="00285D7C" w:rsidRP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Katılımcı ve çoğulcu yönetim anlayışımızla tüm çalışanlarımızı süreç yaklaşımlı ve risk tabanlı düşünmeye teşvik etmek, yönetim sistemleri şartlarının sağlanmasında liderlik etmelerini sağlamak,</w:t>
      </w:r>
    </w:p>
    <w:p w14:paraId="781F898C" w14:textId="77777777" w:rsid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Yönetim standartlarının ışığında sürekli iyileştirme yaklaşımımızla, tüm süreçlerimizdeki verimliliği iyileştirmek, maliyetleri düşürmek ve karlılığı artırmak için teknolojik gelişmeleri yakından takip etmek, araştırmak ve uygulamak,</w:t>
      </w:r>
    </w:p>
    <w:p w14:paraId="5F3F6E72" w14:textId="1B8CA9E4" w:rsidR="00380DD8" w:rsidRDefault="004A69C7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Vizyonumu geliştirmek </w:t>
      </w:r>
      <w:r w:rsidR="00653173">
        <w:rPr>
          <w:sz w:val="24"/>
          <w:szCs w:val="24"/>
        </w:rPr>
        <w:t xml:space="preserve">için eğitim </w:t>
      </w:r>
      <w:r w:rsidR="00950122">
        <w:rPr>
          <w:sz w:val="24"/>
          <w:szCs w:val="24"/>
        </w:rPr>
        <w:t>programlarını sürekli olarak geliştirilmesi ve etkinliği</w:t>
      </w:r>
      <w:r w:rsidR="00B968B5">
        <w:rPr>
          <w:sz w:val="24"/>
          <w:szCs w:val="24"/>
        </w:rPr>
        <w:t xml:space="preserve"> arttırmak</w:t>
      </w:r>
      <w:r w:rsidR="00DA6210">
        <w:rPr>
          <w:sz w:val="24"/>
          <w:szCs w:val="24"/>
        </w:rPr>
        <w:t>,</w:t>
      </w:r>
    </w:p>
    <w:p w14:paraId="7AF4330B" w14:textId="70B515D1" w:rsidR="00B968B5" w:rsidRPr="00285D7C" w:rsidRDefault="00B968B5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Arge</w:t>
      </w:r>
      <w:proofErr w:type="spellEnd"/>
      <w:r>
        <w:rPr>
          <w:sz w:val="24"/>
          <w:szCs w:val="24"/>
        </w:rPr>
        <w:t xml:space="preserve"> araştırması yapma yete</w:t>
      </w:r>
      <w:r w:rsidR="009D0FD2">
        <w:rPr>
          <w:sz w:val="24"/>
          <w:szCs w:val="24"/>
        </w:rPr>
        <w:t>neğinin arttırılması ve geliştirilmesi için gerekli olan altyapı</w:t>
      </w:r>
      <w:r w:rsidR="000749C8">
        <w:rPr>
          <w:sz w:val="24"/>
          <w:szCs w:val="24"/>
        </w:rPr>
        <w:t xml:space="preserve"> ve kaynakları</w:t>
      </w:r>
      <w:r w:rsidR="00486368">
        <w:rPr>
          <w:sz w:val="24"/>
          <w:szCs w:val="24"/>
        </w:rPr>
        <w:t xml:space="preserve"> iyileştirilmeyi ve bunların etkin şekilde kullanımı</w:t>
      </w:r>
      <w:r w:rsidR="00004BF7">
        <w:rPr>
          <w:sz w:val="24"/>
          <w:szCs w:val="24"/>
        </w:rPr>
        <w:t>nı sağlamak.</w:t>
      </w:r>
      <w:r w:rsidR="000749C8">
        <w:rPr>
          <w:sz w:val="24"/>
          <w:szCs w:val="24"/>
        </w:rPr>
        <w:t xml:space="preserve"> </w:t>
      </w:r>
    </w:p>
    <w:p w14:paraId="6CECB38C" w14:textId="380504F1" w:rsidR="00285D7C" w:rsidRP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Sürdürülebilir kalkınma ilkeleri kapsamında çevreyi korumak ve afete hazırlıklı, yaşam kalitesi yüksek mekânlar</w:t>
      </w:r>
      <w:r w:rsidR="00004BF7">
        <w:rPr>
          <w:sz w:val="24"/>
          <w:szCs w:val="24"/>
        </w:rPr>
        <w:t>ı geliştirmek</w:t>
      </w:r>
      <w:r w:rsidRPr="00285D7C">
        <w:rPr>
          <w:sz w:val="24"/>
          <w:szCs w:val="24"/>
        </w:rPr>
        <w:t>,</w:t>
      </w:r>
    </w:p>
    <w:p w14:paraId="4FB0ED15" w14:textId="77777777" w:rsidR="00285D7C" w:rsidRP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Çevre kirliliklerinin kaynağında önlenmesi, oluşabilecek atıkların azaltılması, yeniden kullanımlarının ve geri kazanımlarının sağlanması için etkin çevre yönetim uygulamalarının hayata geçirilmesini sağlayarak uygulamaları izlemek ve denetlemek,</w:t>
      </w:r>
    </w:p>
    <w:p w14:paraId="518415C5" w14:textId="173025F1" w:rsid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lastRenderedPageBreak/>
        <w:t>İş sağlığı güvenliği ve çevre ile ilgili risklerimizi teknolojik gelişmeler ve saha iyileştirmeleri ile kontrol altına almak,</w:t>
      </w:r>
    </w:p>
    <w:p w14:paraId="2D2C555C" w14:textId="6A8D2B93" w:rsidR="009B5AEB" w:rsidRPr="00285D7C" w:rsidRDefault="009B5AEB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Çalışanların ve çalışan temsilcilerin danışma ve katılımının sağlanması</w:t>
      </w:r>
      <w:r w:rsidR="00DA6210">
        <w:rPr>
          <w:sz w:val="24"/>
          <w:szCs w:val="24"/>
        </w:rPr>
        <w:t>,</w:t>
      </w:r>
    </w:p>
    <w:p w14:paraId="534409EC" w14:textId="77777777" w:rsidR="00285D7C" w:rsidRP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İş kazalarının ve meslek hastalıklarının yaşanmaması için gereken tüm önlemleri hayata geçirmek ve çalışanlarımızın sağlıklarının korunmasını sağlamak,</w:t>
      </w:r>
    </w:p>
    <w:p w14:paraId="750C2EA4" w14:textId="16675122" w:rsidR="00285D7C" w:rsidRPr="00285D7C" w:rsidRDefault="00677A68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Kurum içi ve dışı eğitim programlarıyla çalışanların bireysel yetkinliklerini</w:t>
      </w:r>
      <w:r w:rsidR="00DA6210">
        <w:rPr>
          <w:sz w:val="24"/>
          <w:szCs w:val="24"/>
        </w:rPr>
        <w:t xml:space="preserve"> sürekli arttırmak</w:t>
      </w:r>
      <w:r w:rsidR="00285D7C" w:rsidRPr="00285D7C">
        <w:rPr>
          <w:sz w:val="24"/>
          <w:szCs w:val="24"/>
        </w:rPr>
        <w:t>,</w:t>
      </w:r>
    </w:p>
    <w:p w14:paraId="6F664761" w14:textId="77777777" w:rsidR="00285D7C" w:rsidRP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Kuruluşumuzdan itibaren oluşturduğumuz kurumsal bilgimizi, tüm gurubumuzda bütünlük ve gizlilik içinde kullanılmasını ve korunmasını sağlamak, kişisel verilerin korunmasına özen göstermek,</w:t>
      </w:r>
    </w:p>
    <w:p w14:paraId="41CD538B" w14:textId="61047672" w:rsidR="00285D7C" w:rsidRPr="00285D7C" w:rsidRDefault="00285D7C" w:rsidP="007F74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  <w:r w:rsidRPr="00285D7C">
        <w:rPr>
          <w:sz w:val="24"/>
          <w:szCs w:val="24"/>
        </w:rPr>
        <w:t>Güvenilir iş ilişkilerimizi geliştirmek ve itibarımızı yükseltmek</w:t>
      </w:r>
      <w:r w:rsidR="00DA6210">
        <w:rPr>
          <w:sz w:val="24"/>
          <w:szCs w:val="24"/>
        </w:rPr>
        <w:t>.</w:t>
      </w:r>
    </w:p>
    <w:p w14:paraId="7D0AC659" w14:textId="77777777" w:rsidR="00285D7C" w:rsidRPr="00285D7C" w:rsidRDefault="00285D7C" w:rsidP="007F7467">
      <w:p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</w:p>
    <w:p w14:paraId="21682FC8" w14:textId="6845ACE3" w:rsidR="00285D7C" w:rsidRPr="00285D7C" w:rsidRDefault="00AA2627" w:rsidP="007F7467">
      <w:pPr>
        <w:autoSpaceDE w:val="0"/>
        <w:autoSpaceDN w:val="0"/>
        <w:adjustRightInd w:val="0"/>
        <w:spacing w:line="360" w:lineRule="auto"/>
        <w:ind w:left="284" w:firstLine="3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MİNA GALVANİZ</w:t>
      </w:r>
      <w:r w:rsidRPr="00285D7C">
        <w:rPr>
          <w:b/>
          <w:bCs/>
          <w:sz w:val="24"/>
          <w:szCs w:val="24"/>
        </w:rPr>
        <w:t xml:space="preserve"> SAN. TİC. </w:t>
      </w:r>
      <w:r>
        <w:rPr>
          <w:b/>
          <w:bCs/>
          <w:sz w:val="24"/>
          <w:szCs w:val="24"/>
        </w:rPr>
        <w:t>A.Ş</w:t>
      </w:r>
      <w:r w:rsidRPr="00285D7C">
        <w:rPr>
          <w:b/>
          <w:bCs/>
          <w:sz w:val="24"/>
          <w:szCs w:val="24"/>
        </w:rPr>
        <w:t xml:space="preserve">. </w:t>
      </w:r>
      <w:r w:rsidR="00285D7C" w:rsidRPr="00285D7C">
        <w:rPr>
          <w:szCs w:val="24"/>
        </w:rPr>
        <w:t xml:space="preserve"> </w:t>
      </w:r>
      <w:r w:rsidR="00285D7C" w:rsidRPr="00285D7C">
        <w:rPr>
          <w:sz w:val="24"/>
          <w:szCs w:val="24"/>
        </w:rPr>
        <w:t>ilkeleri ışığında tüm faaliyetlerimizde ilgili ulusal ve uluslararası mevzuat ve diğer gereklilikler ile ürün uygunluğu ve güvenliği standartlarına uymayı taahhüt ederiz.</w:t>
      </w:r>
    </w:p>
    <w:p w14:paraId="34FDD16A" w14:textId="77777777" w:rsidR="00285D7C" w:rsidRPr="00285D7C" w:rsidRDefault="00285D7C" w:rsidP="00285D7C">
      <w:pPr>
        <w:autoSpaceDE w:val="0"/>
        <w:autoSpaceDN w:val="0"/>
        <w:adjustRightInd w:val="0"/>
        <w:spacing w:line="480" w:lineRule="auto"/>
        <w:ind w:left="357"/>
        <w:jc w:val="both"/>
        <w:rPr>
          <w:sz w:val="24"/>
          <w:szCs w:val="24"/>
        </w:rPr>
      </w:pPr>
    </w:p>
    <w:p w14:paraId="65977A01" w14:textId="77777777" w:rsidR="00285D7C" w:rsidRDefault="00285D7C" w:rsidP="00285D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05FB0" w14:textId="77777777" w:rsidR="00285D7C" w:rsidRDefault="00285D7C" w:rsidP="00285D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D3CF48" w14:textId="77777777" w:rsidR="00285D7C" w:rsidRDefault="00285D7C" w:rsidP="00285D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13483F" w14:textId="77777777" w:rsidR="00E91FCA" w:rsidRDefault="00E91FCA"/>
    <w:sectPr w:rsidR="00E91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71183" w14:textId="77777777" w:rsidR="00605AAF" w:rsidRDefault="00605AAF" w:rsidP="00285D7C">
      <w:r>
        <w:separator/>
      </w:r>
    </w:p>
  </w:endnote>
  <w:endnote w:type="continuationSeparator" w:id="0">
    <w:p w14:paraId="41ECE5DB" w14:textId="77777777" w:rsidR="00605AAF" w:rsidRDefault="00605AAF" w:rsidP="0028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C3591" w14:textId="77777777" w:rsidR="00AA2627" w:rsidRDefault="00AA26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180" w:type="dxa"/>
      <w:tblInd w:w="-318" w:type="dxa"/>
      <w:tblLook w:val="04A0" w:firstRow="1" w:lastRow="0" w:firstColumn="1" w:lastColumn="0" w:noHBand="0" w:noVBand="1"/>
    </w:tblPr>
    <w:tblGrid>
      <w:gridCol w:w="5162"/>
      <w:gridCol w:w="5018"/>
    </w:tblGrid>
    <w:tr w:rsidR="00AA2627" w:rsidRPr="0088635E" w14:paraId="652E0B5C" w14:textId="77777777" w:rsidTr="00E86ACF">
      <w:trPr>
        <w:trHeight w:val="339"/>
      </w:trPr>
      <w:tc>
        <w:tcPr>
          <w:tcW w:w="5162" w:type="dxa"/>
          <w:vAlign w:val="center"/>
        </w:tcPr>
        <w:p w14:paraId="4FB73E13" w14:textId="77777777" w:rsidR="00AA2627" w:rsidRPr="003716E8" w:rsidRDefault="00AA2627" w:rsidP="00AA2627">
          <w:pPr>
            <w:tabs>
              <w:tab w:val="left" w:pos="7481"/>
            </w:tabs>
            <w:jc w:val="center"/>
            <w:rPr>
              <w:rFonts w:ascii="Arial" w:hAnsi="Arial" w:cs="Arial"/>
              <w:b/>
            </w:rPr>
          </w:pPr>
          <w:bookmarkStart w:id="2" w:name="_Hlk74578382"/>
          <w:r w:rsidRPr="003716E8">
            <w:rPr>
              <w:rFonts w:ascii="Arial" w:hAnsi="Arial" w:cs="Arial"/>
              <w:b/>
            </w:rPr>
            <w:t>Hazırlayan</w:t>
          </w:r>
        </w:p>
      </w:tc>
      <w:tc>
        <w:tcPr>
          <w:tcW w:w="5018" w:type="dxa"/>
          <w:vAlign w:val="center"/>
        </w:tcPr>
        <w:p w14:paraId="43D533B9" w14:textId="77777777" w:rsidR="00AA2627" w:rsidRPr="003716E8" w:rsidRDefault="00AA2627" w:rsidP="00AA2627">
          <w:pPr>
            <w:tabs>
              <w:tab w:val="left" w:pos="7481"/>
            </w:tabs>
            <w:jc w:val="center"/>
            <w:rPr>
              <w:rFonts w:ascii="Arial" w:hAnsi="Arial" w:cs="Arial"/>
              <w:b/>
            </w:rPr>
          </w:pPr>
          <w:r w:rsidRPr="003716E8">
            <w:rPr>
              <w:rFonts w:ascii="Arial" w:hAnsi="Arial" w:cs="Arial"/>
              <w:b/>
            </w:rPr>
            <w:t>Onaylayan</w:t>
          </w:r>
        </w:p>
      </w:tc>
    </w:tr>
    <w:tr w:rsidR="00AA2627" w:rsidRPr="0088635E" w14:paraId="510F5599" w14:textId="77777777" w:rsidTr="00E86ACF">
      <w:trPr>
        <w:trHeight w:val="788"/>
      </w:trPr>
      <w:tc>
        <w:tcPr>
          <w:tcW w:w="5162" w:type="dxa"/>
          <w:vAlign w:val="center"/>
        </w:tcPr>
        <w:p w14:paraId="3276A961" w14:textId="77777777" w:rsidR="00AA2627" w:rsidRDefault="00AA2627" w:rsidP="00AA2627">
          <w:pPr>
            <w:jc w:val="center"/>
            <w:rPr>
              <w:rFonts w:ascii="Arial" w:hAnsi="Arial" w:cs="Arial"/>
            </w:rPr>
          </w:pPr>
        </w:p>
        <w:p w14:paraId="0D4CC9BB" w14:textId="77777777" w:rsidR="00AA2627" w:rsidRDefault="00AA2627" w:rsidP="00AA2627">
          <w:pPr>
            <w:jc w:val="center"/>
            <w:rPr>
              <w:rFonts w:ascii="Arial" w:hAnsi="Arial" w:cs="Arial"/>
            </w:rPr>
          </w:pPr>
        </w:p>
        <w:p w14:paraId="55E3B617" w14:textId="77777777" w:rsidR="00AA2627" w:rsidRDefault="00AA2627" w:rsidP="00AA262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Ayten SUİÇMEZ</w:t>
          </w:r>
        </w:p>
        <w:p w14:paraId="1BCD822D" w14:textId="77777777" w:rsidR="00AA2627" w:rsidRPr="0005055E" w:rsidRDefault="00AA2627" w:rsidP="00AA262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Kalite Güvence </w:t>
          </w:r>
          <w:proofErr w:type="spellStart"/>
          <w:r>
            <w:rPr>
              <w:rFonts w:ascii="Arial" w:hAnsi="Arial" w:cs="Arial"/>
            </w:rPr>
            <w:t>Müd</w:t>
          </w:r>
          <w:proofErr w:type="spellEnd"/>
          <w:r>
            <w:rPr>
              <w:rFonts w:ascii="Arial" w:hAnsi="Arial" w:cs="Arial"/>
            </w:rPr>
            <w:t>.</w:t>
          </w:r>
        </w:p>
      </w:tc>
      <w:tc>
        <w:tcPr>
          <w:tcW w:w="5018" w:type="dxa"/>
          <w:vAlign w:val="center"/>
        </w:tcPr>
        <w:p w14:paraId="3607A874" w14:textId="77777777" w:rsidR="00AA2627" w:rsidRDefault="00AA2627" w:rsidP="00AA2627">
          <w:pPr>
            <w:jc w:val="center"/>
            <w:rPr>
              <w:rFonts w:ascii="Arial" w:hAnsi="Arial" w:cs="Arial"/>
            </w:rPr>
          </w:pPr>
        </w:p>
        <w:p w14:paraId="5ED63524" w14:textId="77777777" w:rsidR="00AA2627" w:rsidRDefault="00AA2627" w:rsidP="00AA2627">
          <w:pPr>
            <w:jc w:val="center"/>
            <w:rPr>
              <w:rFonts w:ascii="Arial" w:hAnsi="Arial" w:cs="Arial"/>
            </w:rPr>
          </w:pPr>
        </w:p>
        <w:p w14:paraId="5AC19F76" w14:textId="77777777" w:rsidR="00AA2627" w:rsidRPr="0005055E" w:rsidRDefault="00AA2627" w:rsidP="00AA2627">
          <w:pPr>
            <w:jc w:val="center"/>
            <w:rPr>
              <w:rFonts w:ascii="Arial" w:hAnsi="Arial" w:cs="Arial"/>
            </w:rPr>
          </w:pPr>
          <w:r w:rsidRPr="002622F2">
            <w:rPr>
              <w:rFonts w:ascii="Arial" w:hAnsi="Arial" w:cs="Arial"/>
            </w:rPr>
            <w:t>Ekrem ÖZEKİNCİ</w:t>
          </w:r>
          <w:r>
            <w:rPr>
              <w:rFonts w:ascii="Arial" w:hAnsi="Arial" w:cs="Arial"/>
            </w:rPr>
            <w:t xml:space="preserve">                                                          </w:t>
          </w:r>
          <w:r w:rsidRPr="002622F2">
            <w:rPr>
              <w:rFonts w:ascii="Arial" w:hAnsi="Arial" w:cs="Arial"/>
            </w:rPr>
            <w:t>Yönetim Kurulu Başkanı</w:t>
          </w:r>
        </w:p>
      </w:tc>
    </w:tr>
    <w:bookmarkEnd w:id="2"/>
  </w:tbl>
  <w:p w14:paraId="2869C144" w14:textId="77777777" w:rsidR="00285D7C" w:rsidRDefault="00285D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D10E0" w14:textId="77777777" w:rsidR="00AA2627" w:rsidRDefault="00AA26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43253" w14:textId="77777777" w:rsidR="00605AAF" w:rsidRDefault="00605AAF" w:rsidP="00285D7C">
      <w:r>
        <w:separator/>
      </w:r>
    </w:p>
  </w:footnote>
  <w:footnote w:type="continuationSeparator" w:id="0">
    <w:p w14:paraId="075E1086" w14:textId="77777777" w:rsidR="00605AAF" w:rsidRDefault="00605AAF" w:rsidP="0028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BC572" w14:textId="77777777" w:rsidR="00AA2627" w:rsidRDefault="00AA26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1"/>
      <w:gridCol w:w="4500"/>
      <w:gridCol w:w="1067"/>
      <w:gridCol w:w="1162"/>
    </w:tblGrid>
    <w:tr w:rsidR="00285D7C" w:rsidRPr="00285D7C" w14:paraId="1409F012" w14:textId="77777777" w:rsidTr="00B609A8">
      <w:trPr>
        <w:trHeight w:val="313"/>
      </w:trPr>
      <w:tc>
        <w:tcPr>
          <w:tcW w:w="2442" w:type="dxa"/>
          <w:vMerge w:val="restart"/>
          <w:shd w:val="clear" w:color="auto" w:fill="auto"/>
        </w:tcPr>
        <w:p w14:paraId="2D0480A9" w14:textId="7425F50F" w:rsidR="00285D7C" w:rsidRPr="00285D7C" w:rsidRDefault="00AA2627" w:rsidP="00285D7C">
          <w:pPr>
            <w:jc w:val="right"/>
            <w:rPr>
              <w:rFonts w:ascii="Calibri" w:hAnsi="Calibri" w:cs="Calibri"/>
              <w:color w:val="000000"/>
              <w:sz w:val="18"/>
            </w:rPr>
          </w:pPr>
          <w:bookmarkStart w:id="1" w:name="_Hlk70927504"/>
          <w:r>
            <w:rPr>
              <w:noProof/>
            </w:rPr>
            <w:drawing>
              <wp:inline distT="0" distB="0" distL="0" distR="0" wp14:anchorId="6F37272C" wp14:editId="2C728A8B">
                <wp:extent cx="1581150" cy="800100"/>
                <wp:effectExtent l="0" t="0" r="0" b="0"/>
                <wp:docPr id="1642183768" name="Resim 1642183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0" w:type="dxa"/>
          <w:vMerge w:val="restart"/>
          <w:shd w:val="clear" w:color="auto" w:fill="auto"/>
        </w:tcPr>
        <w:p w14:paraId="20C89C4D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  <w:p w14:paraId="4B2105B2" w14:textId="77777777" w:rsidR="00285D7C" w:rsidRPr="00285D7C" w:rsidRDefault="00285D7C" w:rsidP="00285D7C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4CE461B1" w14:textId="77777777" w:rsidR="00285D7C" w:rsidRPr="00285D7C" w:rsidRDefault="00285D7C" w:rsidP="00285D7C">
          <w:pPr>
            <w:tabs>
              <w:tab w:val="center" w:pos="4536"/>
              <w:tab w:val="right" w:pos="9072"/>
            </w:tabs>
            <w:jc w:val="center"/>
          </w:pPr>
          <w:r w:rsidRPr="00285D7C">
            <w:rPr>
              <w:rFonts w:ascii="Arial" w:hAnsi="Arial" w:cs="Arial"/>
              <w:b/>
              <w:sz w:val="28"/>
              <w:szCs w:val="28"/>
            </w:rPr>
            <w:t>KALİTE POLİTİKASI ve TAAHHÜT</w:t>
          </w:r>
        </w:p>
        <w:p w14:paraId="7084AFF2" w14:textId="77777777" w:rsidR="00285D7C" w:rsidRPr="00285D7C" w:rsidRDefault="00285D7C" w:rsidP="00285D7C">
          <w:pPr>
            <w:tabs>
              <w:tab w:val="left" w:pos="2128"/>
            </w:tabs>
            <w:jc w:val="center"/>
            <w:rPr>
              <w:rFonts w:ascii="Calibri" w:hAnsi="Calibri"/>
              <w:b/>
              <w:sz w:val="28"/>
              <w:szCs w:val="40"/>
            </w:rPr>
          </w:pPr>
        </w:p>
      </w:tc>
      <w:tc>
        <w:tcPr>
          <w:tcW w:w="1095" w:type="dxa"/>
          <w:vAlign w:val="center"/>
        </w:tcPr>
        <w:p w14:paraId="2D5EBF4A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Form No</w:t>
          </w:r>
        </w:p>
      </w:tc>
      <w:tc>
        <w:tcPr>
          <w:tcW w:w="1173" w:type="dxa"/>
          <w:vAlign w:val="center"/>
        </w:tcPr>
        <w:p w14:paraId="26DD54C6" w14:textId="2C1D9076" w:rsidR="00285D7C" w:rsidRPr="00285D7C" w:rsidRDefault="003E079F" w:rsidP="00285D7C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FR-</w:t>
          </w:r>
          <w:r w:rsidR="00FA2522">
            <w:rPr>
              <w:rFonts w:ascii="Calibri" w:hAnsi="Calibri" w:cs="Calibri"/>
              <w:color w:val="000000"/>
              <w:sz w:val="18"/>
            </w:rPr>
            <w:t>07</w:t>
          </w:r>
        </w:p>
      </w:tc>
    </w:tr>
    <w:tr w:rsidR="00285D7C" w:rsidRPr="00285D7C" w14:paraId="71B60779" w14:textId="77777777" w:rsidTr="00B609A8">
      <w:trPr>
        <w:trHeight w:val="255"/>
      </w:trPr>
      <w:tc>
        <w:tcPr>
          <w:tcW w:w="2442" w:type="dxa"/>
          <w:vMerge/>
          <w:shd w:val="clear" w:color="auto" w:fill="auto"/>
        </w:tcPr>
        <w:p w14:paraId="5C4BA898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650" w:type="dxa"/>
          <w:vMerge/>
          <w:shd w:val="clear" w:color="auto" w:fill="auto"/>
        </w:tcPr>
        <w:p w14:paraId="5D8FC90D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95" w:type="dxa"/>
          <w:vAlign w:val="center"/>
        </w:tcPr>
        <w:p w14:paraId="7020DEE5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proofErr w:type="spellStart"/>
          <w:r w:rsidRPr="00285D7C">
            <w:rPr>
              <w:rFonts w:ascii="Calibri" w:hAnsi="Calibri" w:cs="Calibri"/>
              <w:color w:val="000000"/>
              <w:sz w:val="18"/>
            </w:rPr>
            <w:t>Rev</w:t>
          </w:r>
          <w:proofErr w:type="spellEnd"/>
          <w:r w:rsidRPr="00285D7C">
            <w:rPr>
              <w:rFonts w:ascii="Calibri" w:hAnsi="Calibri" w:cs="Calibri"/>
              <w:color w:val="000000"/>
              <w:sz w:val="18"/>
            </w:rPr>
            <w:t xml:space="preserve"> No</w:t>
          </w:r>
        </w:p>
      </w:tc>
      <w:tc>
        <w:tcPr>
          <w:tcW w:w="1173" w:type="dxa"/>
          <w:vAlign w:val="center"/>
        </w:tcPr>
        <w:p w14:paraId="3813FBF7" w14:textId="43337D88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0</w:t>
          </w:r>
          <w:r w:rsidR="005F41AC">
            <w:rPr>
              <w:rFonts w:ascii="Calibri" w:hAnsi="Calibri" w:cs="Calibri"/>
              <w:color w:val="000000"/>
              <w:sz w:val="18"/>
            </w:rPr>
            <w:t>2</w:t>
          </w:r>
        </w:p>
      </w:tc>
    </w:tr>
    <w:tr w:rsidR="00285D7C" w:rsidRPr="00285D7C" w14:paraId="2B14F4B3" w14:textId="77777777" w:rsidTr="00B609A8">
      <w:trPr>
        <w:trHeight w:val="308"/>
      </w:trPr>
      <w:tc>
        <w:tcPr>
          <w:tcW w:w="2442" w:type="dxa"/>
          <w:vMerge/>
          <w:shd w:val="clear" w:color="auto" w:fill="auto"/>
        </w:tcPr>
        <w:p w14:paraId="6F499781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650" w:type="dxa"/>
          <w:vMerge/>
          <w:shd w:val="clear" w:color="auto" w:fill="auto"/>
        </w:tcPr>
        <w:p w14:paraId="75461517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95" w:type="dxa"/>
          <w:vAlign w:val="center"/>
        </w:tcPr>
        <w:p w14:paraId="1CA3FC7B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Yayın Tarihi</w:t>
          </w:r>
        </w:p>
      </w:tc>
      <w:tc>
        <w:tcPr>
          <w:tcW w:w="1173" w:type="dxa"/>
          <w:vAlign w:val="center"/>
        </w:tcPr>
        <w:p w14:paraId="5A19CE87" w14:textId="69777D04" w:rsidR="00285D7C" w:rsidRPr="00285D7C" w:rsidRDefault="00AA2627" w:rsidP="00285D7C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15.03.2020</w:t>
          </w:r>
        </w:p>
      </w:tc>
    </w:tr>
    <w:tr w:rsidR="00285D7C" w:rsidRPr="00285D7C" w14:paraId="30279CFA" w14:textId="77777777" w:rsidTr="00B609A8">
      <w:trPr>
        <w:trHeight w:val="132"/>
      </w:trPr>
      <w:tc>
        <w:tcPr>
          <w:tcW w:w="2442" w:type="dxa"/>
          <w:vMerge/>
          <w:shd w:val="clear" w:color="auto" w:fill="auto"/>
        </w:tcPr>
        <w:p w14:paraId="5DFC40D5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650" w:type="dxa"/>
          <w:vMerge/>
          <w:shd w:val="clear" w:color="auto" w:fill="auto"/>
        </w:tcPr>
        <w:p w14:paraId="315001FF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95" w:type="dxa"/>
          <w:vAlign w:val="center"/>
        </w:tcPr>
        <w:p w14:paraId="65696C93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proofErr w:type="spellStart"/>
          <w:r w:rsidRPr="00285D7C">
            <w:rPr>
              <w:rFonts w:ascii="Calibri" w:hAnsi="Calibri" w:cs="Calibri"/>
              <w:color w:val="000000"/>
              <w:sz w:val="18"/>
            </w:rPr>
            <w:t>Rev</w:t>
          </w:r>
          <w:proofErr w:type="spellEnd"/>
          <w:r w:rsidRPr="00285D7C">
            <w:rPr>
              <w:rFonts w:ascii="Calibri" w:hAnsi="Calibri" w:cs="Calibri"/>
              <w:color w:val="000000"/>
              <w:sz w:val="18"/>
            </w:rPr>
            <w:t>. Tarihi</w:t>
          </w:r>
        </w:p>
      </w:tc>
      <w:tc>
        <w:tcPr>
          <w:tcW w:w="1173" w:type="dxa"/>
          <w:vAlign w:val="center"/>
        </w:tcPr>
        <w:p w14:paraId="1877348C" w14:textId="23BD4A24" w:rsidR="00285D7C" w:rsidRPr="00285D7C" w:rsidRDefault="00AA2627" w:rsidP="00285D7C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01.10.2024</w:t>
          </w:r>
        </w:p>
      </w:tc>
    </w:tr>
    <w:tr w:rsidR="00285D7C" w:rsidRPr="00285D7C" w14:paraId="64E91D3A" w14:textId="77777777" w:rsidTr="00B609A8">
      <w:trPr>
        <w:trHeight w:val="177"/>
      </w:trPr>
      <w:tc>
        <w:tcPr>
          <w:tcW w:w="2442" w:type="dxa"/>
          <w:vMerge/>
          <w:shd w:val="clear" w:color="auto" w:fill="auto"/>
        </w:tcPr>
        <w:p w14:paraId="7ABDEC8C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650" w:type="dxa"/>
          <w:vMerge/>
          <w:shd w:val="clear" w:color="auto" w:fill="auto"/>
        </w:tcPr>
        <w:p w14:paraId="6328ACDF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95" w:type="dxa"/>
          <w:vAlign w:val="center"/>
        </w:tcPr>
        <w:p w14:paraId="2A7CC426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Sayfa Sayısı</w:t>
          </w:r>
        </w:p>
      </w:tc>
      <w:tc>
        <w:tcPr>
          <w:tcW w:w="1173" w:type="dxa"/>
          <w:vAlign w:val="center"/>
        </w:tcPr>
        <w:p w14:paraId="0F7DB72E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1/1</w:t>
          </w:r>
        </w:p>
      </w:tc>
    </w:tr>
    <w:bookmarkEnd w:id="1"/>
  </w:tbl>
  <w:p w14:paraId="2252D996" w14:textId="77777777" w:rsidR="00285D7C" w:rsidRDefault="00285D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2C8D9" w14:textId="77777777" w:rsidR="00AA2627" w:rsidRDefault="00AA26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35F3"/>
      </v:shape>
    </w:pict>
  </w:numPicBullet>
  <w:abstractNum w:abstractNumId="0" w15:restartNumberingAfterBreak="0">
    <w:nsid w:val="05E67325"/>
    <w:multiLevelType w:val="hybridMultilevel"/>
    <w:tmpl w:val="516287A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27A45"/>
    <w:multiLevelType w:val="hybridMultilevel"/>
    <w:tmpl w:val="DF4AB062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C9108B"/>
    <w:multiLevelType w:val="hybridMultilevel"/>
    <w:tmpl w:val="A1B2BD0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238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450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939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7C"/>
    <w:rsid w:val="00004BF7"/>
    <w:rsid w:val="000749C8"/>
    <w:rsid w:val="001870AB"/>
    <w:rsid w:val="001B0735"/>
    <w:rsid w:val="001B72C3"/>
    <w:rsid w:val="00237056"/>
    <w:rsid w:val="00285D7C"/>
    <w:rsid w:val="00380DD8"/>
    <w:rsid w:val="003E079F"/>
    <w:rsid w:val="004538B5"/>
    <w:rsid w:val="00486368"/>
    <w:rsid w:val="0049195F"/>
    <w:rsid w:val="004A69C7"/>
    <w:rsid w:val="004F6E2A"/>
    <w:rsid w:val="005E70A5"/>
    <w:rsid w:val="005F41AC"/>
    <w:rsid w:val="00605AAF"/>
    <w:rsid w:val="00653173"/>
    <w:rsid w:val="00677A68"/>
    <w:rsid w:val="0068002B"/>
    <w:rsid w:val="006D2D58"/>
    <w:rsid w:val="00734C37"/>
    <w:rsid w:val="00754087"/>
    <w:rsid w:val="007F7467"/>
    <w:rsid w:val="0080575D"/>
    <w:rsid w:val="008D078F"/>
    <w:rsid w:val="008D0C14"/>
    <w:rsid w:val="00950122"/>
    <w:rsid w:val="009B5AEB"/>
    <w:rsid w:val="009D0FD2"/>
    <w:rsid w:val="009F52C0"/>
    <w:rsid w:val="00A0704E"/>
    <w:rsid w:val="00AA2627"/>
    <w:rsid w:val="00B609A8"/>
    <w:rsid w:val="00B968B5"/>
    <w:rsid w:val="00C563BF"/>
    <w:rsid w:val="00CD348A"/>
    <w:rsid w:val="00D51DE2"/>
    <w:rsid w:val="00D82D91"/>
    <w:rsid w:val="00DA6210"/>
    <w:rsid w:val="00E2392E"/>
    <w:rsid w:val="00E3236B"/>
    <w:rsid w:val="00E720A8"/>
    <w:rsid w:val="00E91FCA"/>
    <w:rsid w:val="00FA2522"/>
    <w:rsid w:val="00FB088E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73420"/>
  <w15:chartTrackingRefBased/>
  <w15:docId w15:val="{894F66F0-3C5A-4613-8B28-D462411B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5D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5D7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5D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5D7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AA2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SUİÇMEZ</dc:creator>
  <cp:keywords/>
  <dc:description/>
  <cp:lastModifiedBy>Ayten SUİÇMEZ</cp:lastModifiedBy>
  <cp:revision>35</cp:revision>
  <dcterms:created xsi:type="dcterms:W3CDTF">2021-04-29T06:37:00Z</dcterms:created>
  <dcterms:modified xsi:type="dcterms:W3CDTF">2024-11-04T08:47:00Z</dcterms:modified>
</cp:coreProperties>
</file>